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Default="00F44691" w:rsidP="00D0348B">
      <w:pPr>
        <w:jc w:val="center"/>
        <w:rPr>
          <w:b/>
          <w:bCs/>
          <w:sz w:val="18"/>
          <w:szCs w:val="18"/>
        </w:rPr>
      </w:pPr>
    </w:p>
    <w:p w:rsidR="00A2248B" w:rsidRPr="00A2248B" w:rsidRDefault="00A2248B" w:rsidP="00D0348B">
      <w:pPr>
        <w:jc w:val="center"/>
        <w:rPr>
          <w:b/>
          <w:bCs/>
        </w:rPr>
      </w:pPr>
      <w:r w:rsidRPr="00A2248B">
        <w:rPr>
          <w:b/>
          <w:bCs/>
        </w:rPr>
        <w:t>Дата определения (фиксации) лиц, имеющих право на осуществление прав по ценным бумагам эмитента</w:t>
      </w:r>
    </w:p>
    <w:p w:rsidR="00A2248B" w:rsidRPr="00F44691" w:rsidRDefault="00A2248B" w:rsidP="00D0348B">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B946C9"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AA446E" w:rsidP="00AA446E">
            <w:pPr>
              <w:ind w:left="57"/>
              <w:rPr>
                <w:rStyle w:val="SUBST"/>
                <w:sz w:val="20"/>
              </w:rPr>
            </w:pPr>
            <w:r>
              <w:rPr>
                <w:rStyle w:val="SUBST"/>
                <w:sz w:val="20"/>
              </w:rPr>
              <w:t>27</w:t>
            </w:r>
            <w:r w:rsidR="00D0348B" w:rsidRPr="008B0AE8">
              <w:rPr>
                <w:rStyle w:val="SUBST"/>
                <w:sz w:val="20"/>
              </w:rPr>
              <w:t>.</w:t>
            </w:r>
            <w:r w:rsidR="007A04E9">
              <w:rPr>
                <w:rStyle w:val="SUBST"/>
                <w:sz w:val="20"/>
              </w:rPr>
              <w:t>0</w:t>
            </w:r>
            <w:r>
              <w:rPr>
                <w:rStyle w:val="SUBST"/>
                <w:sz w:val="20"/>
              </w:rPr>
              <w:t>5</w:t>
            </w:r>
            <w:r w:rsidR="00D0348B" w:rsidRPr="008B0AE8">
              <w:rPr>
                <w:rStyle w:val="SUBST"/>
                <w:sz w:val="20"/>
              </w:rPr>
              <w:t>.202</w:t>
            </w:r>
            <w:r w:rsidR="007A04E9">
              <w:rPr>
                <w:rStyle w:val="SUBST"/>
                <w:sz w:val="20"/>
              </w:rPr>
              <w:t>6</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
          <w:p w:rsidR="00AA446E" w:rsidRPr="00C76045" w:rsidRDefault="00C76045" w:rsidP="00937026">
            <w:pPr>
              <w:autoSpaceDE/>
              <w:autoSpaceDN/>
              <w:spacing w:before="60"/>
              <w:ind w:left="57" w:right="113"/>
              <w:jc w:val="both"/>
              <w:rPr>
                <w:rFonts w:eastAsia="Calibri"/>
              </w:rPr>
            </w:pPr>
            <w:r w:rsidRPr="00C76045">
              <w:rPr>
                <w:rFonts w:eastAsia="Calibri"/>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00E419C8">
              <w:rPr>
                <w:rFonts w:eastAsia="Calibri"/>
                <w:b/>
                <w:i/>
              </w:rPr>
              <w:t>право голоса</w:t>
            </w:r>
            <w:r w:rsidR="00AA446E" w:rsidRPr="003F76DC">
              <w:rPr>
                <w:rFonts w:eastAsia="Calibri"/>
                <w:b/>
                <w:i/>
              </w:rPr>
              <w:t xml:space="preserve"> при принятии решений общим собранием акционеров</w:t>
            </w:r>
            <w:r w:rsidR="00AA446E">
              <w:rPr>
                <w:rFonts w:eastAsia="Calibri"/>
                <w:b/>
                <w:i/>
              </w:rPr>
              <w:t xml:space="preserve"> эмитента</w:t>
            </w:r>
            <w:r w:rsidR="00AA446E" w:rsidRPr="00C76045">
              <w:rPr>
                <w:rFonts w:eastAsia="Calibri"/>
                <w:b/>
                <w:i/>
              </w:rPr>
              <w:t>.</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00AA446E">
              <w:rPr>
                <w:rFonts w:eastAsia="Calibri"/>
                <w:b/>
                <w:i/>
              </w:rPr>
              <w:t>05</w:t>
            </w:r>
            <w:r w:rsidRPr="00C76045">
              <w:rPr>
                <w:rFonts w:eastAsia="Calibri"/>
                <w:b/>
                <w:i/>
              </w:rPr>
              <w:t xml:space="preserve"> </w:t>
            </w:r>
            <w:r w:rsidR="00AA446E">
              <w:rPr>
                <w:rFonts w:eastAsia="Calibri"/>
                <w:b/>
                <w:i/>
              </w:rPr>
              <w:t>июня</w:t>
            </w:r>
            <w:r w:rsidRPr="00C76045">
              <w:rPr>
                <w:rFonts w:eastAsia="Calibri"/>
                <w:b/>
                <w:i/>
              </w:rPr>
              <w:t xml:space="preserve"> 202</w:t>
            </w:r>
            <w:r w:rsidR="007A04E9">
              <w:rPr>
                <w:rFonts w:eastAsia="Calibri"/>
                <w:b/>
                <w:i/>
              </w:rPr>
              <w:t>6</w:t>
            </w:r>
            <w:r w:rsidRPr="00C76045">
              <w:rPr>
                <w:rFonts w:eastAsia="Calibri"/>
                <w:b/>
                <w:i/>
              </w:rPr>
              <w:t xml:space="preserve"> г.</w:t>
            </w:r>
            <w:r w:rsidRPr="00C76045">
              <w:rPr>
                <w:rFonts w:eastAsia="Calibri"/>
              </w:rPr>
              <w:t xml:space="preserve"> </w:t>
            </w:r>
          </w:p>
          <w:p w:rsidR="00AA446E" w:rsidRPr="009B7DF0" w:rsidRDefault="00C76045" w:rsidP="002C5D18">
            <w:pPr>
              <w:autoSpaceDE/>
              <w:autoSpaceDN/>
              <w:spacing w:before="60" w:after="60"/>
              <w:ind w:left="57" w:right="113"/>
              <w:jc w:val="both"/>
              <w:rPr>
                <w:rFonts w:eastAsia="Calibri"/>
              </w:rPr>
            </w:pPr>
            <w:r w:rsidRPr="00C76045">
              <w:rPr>
                <w:rFonts w:eastAsia="Calibri"/>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AA446E">
              <w:rPr>
                <w:rFonts w:eastAsia="Calibri"/>
                <w:b/>
                <w:i/>
              </w:rPr>
              <w:t xml:space="preserve">решение </w:t>
            </w:r>
            <w:bookmarkStart w:id="0" w:name="_GoBack"/>
            <w:bookmarkEnd w:id="0"/>
            <w:r w:rsidR="00AA446E">
              <w:rPr>
                <w:rFonts w:eastAsia="Calibri"/>
                <w:b/>
                <w:i/>
              </w:rPr>
              <w:t>принято Советом директоров 25 мая 2026 г., п</w:t>
            </w:r>
            <w:r w:rsidR="00AA446E" w:rsidRPr="00C76045">
              <w:rPr>
                <w:rFonts w:eastAsia="Calibri"/>
                <w:b/>
                <w:i/>
              </w:rPr>
              <w:t xml:space="preserve">ротокол заседания Совета директоров ПАО «РОСИНТЕР РЕСТОРАНТС ХОЛДИНГ» № </w:t>
            </w:r>
            <w:r w:rsidR="00AA446E">
              <w:rPr>
                <w:rFonts w:eastAsia="Calibri"/>
                <w:b/>
                <w:i/>
              </w:rPr>
              <w:t>3</w:t>
            </w:r>
            <w:r w:rsidR="00AA446E" w:rsidRPr="00C76045">
              <w:rPr>
                <w:rFonts w:eastAsia="Calibri"/>
                <w:b/>
                <w:i/>
              </w:rPr>
              <w:t>/СД-202</w:t>
            </w:r>
            <w:r w:rsidR="00AA446E">
              <w:rPr>
                <w:rFonts w:eastAsia="Calibri"/>
                <w:b/>
                <w:i/>
              </w:rPr>
              <w:t>6</w:t>
            </w:r>
            <w:r w:rsidR="00AA446E" w:rsidRPr="00C76045">
              <w:rPr>
                <w:rFonts w:eastAsia="Calibri"/>
                <w:b/>
                <w:i/>
              </w:rPr>
              <w:t xml:space="preserve"> от </w:t>
            </w:r>
            <w:r w:rsidR="00AA446E">
              <w:rPr>
                <w:rFonts w:eastAsia="Calibri"/>
                <w:b/>
                <w:i/>
              </w:rPr>
              <w:t>27</w:t>
            </w:r>
            <w:r w:rsidR="00AA446E" w:rsidRPr="00C76045">
              <w:rPr>
                <w:rFonts w:eastAsia="Calibri"/>
                <w:b/>
                <w:i/>
              </w:rPr>
              <w:t xml:space="preserve"> </w:t>
            </w:r>
            <w:r w:rsidR="00AA446E">
              <w:rPr>
                <w:rFonts w:eastAsia="Calibri"/>
                <w:b/>
                <w:i/>
              </w:rPr>
              <w:t>мая</w:t>
            </w:r>
            <w:r w:rsidR="00AA446E" w:rsidRPr="00C76045">
              <w:rPr>
                <w:rFonts w:eastAsia="Calibri"/>
                <w:b/>
                <w:i/>
              </w:rPr>
              <w:t xml:space="preserve"> 202</w:t>
            </w:r>
            <w:r w:rsidR="00AA446E">
              <w:rPr>
                <w:rFonts w:eastAsia="Calibri"/>
                <w:b/>
                <w:i/>
              </w:rPr>
              <w:t>6</w:t>
            </w:r>
            <w:r w:rsidR="00AA446E"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AA446E">
            <w:pPr>
              <w:ind w:left="57"/>
            </w:pPr>
            <w:r w:rsidRPr="009B7DF0">
              <w:t xml:space="preserve">3.2. Дата: </w:t>
            </w:r>
            <w:r w:rsidRPr="009B7DF0">
              <w:rPr>
                <w:b/>
                <w:bCs/>
                <w:i/>
                <w:iCs/>
              </w:rPr>
              <w:t>«</w:t>
            </w:r>
            <w:r w:rsidR="00AA446E">
              <w:rPr>
                <w:b/>
                <w:bCs/>
                <w:i/>
                <w:iCs/>
              </w:rPr>
              <w:t>28</w:t>
            </w:r>
            <w:r w:rsidRPr="009B7DF0">
              <w:rPr>
                <w:b/>
                <w:bCs/>
                <w:i/>
                <w:iCs/>
              </w:rPr>
              <w:t>»</w:t>
            </w:r>
            <w:r w:rsidR="003E24F3" w:rsidRPr="009B7DF0">
              <w:rPr>
                <w:b/>
                <w:bCs/>
                <w:i/>
                <w:iCs/>
              </w:rPr>
              <w:t xml:space="preserve"> </w:t>
            </w:r>
            <w:r w:rsidR="007A04E9">
              <w:rPr>
                <w:b/>
                <w:bCs/>
                <w:i/>
                <w:iCs/>
              </w:rPr>
              <w:t>ма</w:t>
            </w:r>
            <w:r w:rsidR="00AA446E">
              <w:rPr>
                <w:b/>
                <w:bCs/>
                <w:i/>
                <w:iCs/>
              </w:rPr>
              <w:t>я</w:t>
            </w:r>
            <w:r w:rsidR="003D4E9B" w:rsidRPr="009B7DF0">
              <w:rPr>
                <w:b/>
                <w:bCs/>
                <w:i/>
                <w:iCs/>
              </w:rPr>
              <w:t xml:space="preserve"> </w:t>
            </w:r>
            <w:r w:rsidR="003A46D2" w:rsidRPr="009B7DF0">
              <w:rPr>
                <w:b/>
                <w:bCs/>
                <w:i/>
                <w:iCs/>
              </w:rPr>
              <w:t>202</w:t>
            </w:r>
            <w:r w:rsidR="007A04E9">
              <w:rPr>
                <w:b/>
                <w:bCs/>
                <w:i/>
                <w:iCs/>
              </w:rPr>
              <w:t>6</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C9" w:rsidRDefault="00B946C9">
      <w:r>
        <w:separator/>
      </w:r>
    </w:p>
  </w:endnote>
  <w:endnote w:type="continuationSeparator" w:id="0">
    <w:p w:rsidR="00B946C9" w:rsidRDefault="00B9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C9" w:rsidRDefault="00B946C9">
      <w:r>
        <w:separator/>
      </w:r>
    </w:p>
  </w:footnote>
  <w:footnote w:type="continuationSeparator" w:id="0">
    <w:p w:rsidR="00B946C9" w:rsidRDefault="00B94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32986"/>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472A4"/>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C5D18"/>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A72A7"/>
    <w:rsid w:val="003B2485"/>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17EB0"/>
    <w:rsid w:val="00420BDA"/>
    <w:rsid w:val="0042126E"/>
    <w:rsid w:val="00423C6D"/>
    <w:rsid w:val="00424673"/>
    <w:rsid w:val="004266A8"/>
    <w:rsid w:val="00427772"/>
    <w:rsid w:val="00427F4C"/>
    <w:rsid w:val="0044313F"/>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4449"/>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1ECD"/>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26DF9"/>
    <w:rsid w:val="00743A5A"/>
    <w:rsid w:val="0074564A"/>
    <w:rsid w:val="00752752"/>
    <w:rsid w:val="0075550B"/>
    <w:rsid w:val="00762730"/>
    <w:rsid w:val="0076723F"/>
    <w:rsid w:val="00770F60"/>
    <w:rsid w:val="00771DC2"/>
    <w:rsid w:val="00772250"/>
    <w:rsid w:val="00775DE3"/>
    <w:rsid w:val="00783B4A"/>
    <w:rsid w:val="00784655"/>
    <w:rsid w:val="00785DFC"/>
    <w:rsid w:val="00794D38"/>
    <w:rsid w:val="00796514"/>
    <w:rsid w:val="00796E85"/>
    <w:rsid w:val="00797149"/>
    <w:rsid w:val="007A04E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0831"/>
    <w:rsid w:val="007E2437"/>
    <w:rsid w:val="007E4646"/>
    <w:rsid w:val="007E5207"/>
    <w:rsid w:val="007E58D3"/>
    <w:rsid w:val="007E7791"/>
    <w:rsid w:val="007E7DDB"/>
    <w:rsid w:val="00801AF5"/>
    <w:rsid w:val="0080305E"/>
    <w:rsid w:val="00804BD0"/>
    <w:rsid w:val="00812144"/>
    <w:rsid w:val="0081511C"/>
    <w:rsid w:val="00817BBF"/>
    <w:rsid w:val="00823EC2"/>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63E"/>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248B"/>
    <w:rsid w:val="00A24E11"/>
    <w:rsid w:val="00A25415"/>
    <w:rsid w:val="00A30924"/>
    <w:rsid w:val="00A338E6"/>
    <w:rsid w:val="00A3731D"/>
    <w:rsid w:val="00A42821"/>
    <w:rsid w:val="00A42D8D"/>
    <w:rsid w:val="00A47034"/>
    <w:rsid w:val="00A473EE"/>
    <w:rsid w:val="00A52317"/>
    <w:rsid w:val="00A54C36"/>
    <w:rsid w:val="00A5525B"/>
    <w:rsid w:val="00A6515F"/>
    <w:rsid w:val="00A73503"/>
    <w:rsid w:val="00A81C95"/>
    <w:rsid w:val="00A823C8"/>
    <w:rsid w:val="00A8548E"/>
    <w:rsid w:val="00A947D4"/>
    <w:rsid w:val="00A9753E"/>
    <w:rsid w:val="00AA0989"/>
    <w:rsid w:val="00AA4456"/>
    <w:rsid w:val="00AA446E"/>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946C9"/>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182C"/>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24303"/>
    <w:rsid w:val="00D36239"/>
    <w:rsid w:val="00D41091"/>
    <w:rsid w:val="00D41D2A"/>
    <w:rsid w:val="00D42E1F"/>
    <w:rsid w:val="00D43732"/>
    <w:rsid w:val="00D547C2"/>
    <w:rsid w:val="00D5688C"/>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E7485"/>
    <w:rsid w:val="00DF1123"/>
    <w:rsid w:val="00DF16CD"/>
    <w:rsid w:val="00DF2272"/>
    <w:rsid w:val="00DF2639"/>
    <w:rsid w:val="00E104F9"/>
    <w:rsid w:val="00E15920"/>
    <w:rsid w:val="00E20190"/>
    <w:rsid w:val="00E25B1D"/>
    <w:rsid w:val="00E37649"/>
    <w:rsid w:val="00E419C8"/>
    <w:rsid w:val="00E427CB"/>
    <w:rsid w:val="00E43E91"/>
    <w:rsid w:val="00E449B3"/>
    <w:rsid w:val="00E44B4A"/>
    <w:rsid w:val="00E56CB1"/>
    <w:rsid w:val="00E64174"/>
    <w:rsid w:val="00E64798"/>
    <w:rsid w:val="00E65223"/>
    <w:rsid w:val="00E66B6D"/>
    <w:rsid w:val="00E66EC1"/>
    <w:rsid w:val="00E6773A"/>
    <w:rsid w:val="00E7006B"/>
    <w:rsid w:val="00E74031"/>
    <w:rsid w:val="00E74689"/>
    <w:rsid w:val="00E76F85"/>
    <w:rsid w:val="00E805D4"/>
    <w:rsid w:val="00E9409B"/>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C0993"/>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2793</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6</cp:revision>
  <cp:lastPrinted>2024-05-17T12:14:00Z</cp:lastPrinted>
  <dcterms:created xsi:type="dcterms:W3CDTF">2026-05-22T14:45:00Z</dcterms:created>
  <dcterms:modified xsi:type="dcterms:W3CDTF">2026-05-26T13:02:00Z</dcterms:modified>
</cp:coreProperties>
</file>